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Министерстве жилищно-коммунального хозяйства, энергетики, цифровизации и связи Забайкальского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i/>
          <w:sz w:val="28"/>
          <w:szCs w:val="28"/>
        </w:rPr>
        <w:t xml:space="preserve">16 апреля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tbl>
      <w:tblPr>
        <w:tblStyle w:val="837"/>
        <w:tblW w:w="5000" w:type="pct"/>
        <w:tblLayout w:type="fixed"/>
        <w:tblLook w:val="04A0" w:firstRow="1" w:lastRow="0" w:firstColumn="1" w:lastColumn="0" w:noHBand="0" w:noVBand="1"/>
      </w:tblPr>
      <w:tblGrid>
        <w:gridCol w:w="1849"/>
        <w:gridCol w:w="44"/>
        <w:gridCol w:w="2976"/>
        <w:gridCol w:w="67"/>
        <w:gridCol w:w="1383"/>
        <w:gridCol w:w="30"/>
        <w:gridCol w:w="2461"/>
        <w:gridCol w:w="216"/>
        <w:gridCol w:w="1345"/>
        <w:gridCol w:w="71"/>
        <w:gridCol w:w="1276"/>
        <w:gridCol w:w="1475"/>
        <w:gridCol w:w="12"/>
        <w:gridCol w:w="922"/>
        <w:gridCol w:w="1486"/>
      </w:tblGrid>
      <w:tr>
        <w:tblPrEx/>
        <w:trPr/>
        <w:tc>
          <w:tcPr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населенный пункт)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замещения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учетом оклада месячного денежного содержания, надбавок, ежемесячного денежного поощрения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служебного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(трудового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рабочего и мобильного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приема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профессионального образования,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Начальник управления жилищно-коммунального хозяйства,</w:t>
              <w:br/>
              <w:t xml:space="preserve">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образование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«Теплоэнергетика и теплотехника», «Электроэнергетика и электротехника»,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«Экономика»,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«Менеджмент»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 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для которо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законодательством об образовании Российской Федерации установлено соответствие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указанн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двух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стажа гражданской службы или стажа работы по специальности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государственн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 сфере жилищно- коммунального хозяйства, направленной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 удовлетворение потребности граждан в предоставлении жилищных и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государственных, региональных программ в жилищно-коммунальной сфере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государственных, региональных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84861,0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122 062,2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управления жилищно-коммунального хозяйства – начальник отдела развития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не ниже уровня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магистратуры по специальностям, направлениям подготовки «Теплоэнергетика и теплотехника»,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инфраструктура», «Юриспруденция»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двух лет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поставками топливно-энергетических ресурсов;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перечня объектов, подлежащих модернизации, реконструкции, капитальному ремонту в сфере ЖКХ;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краевых целевых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77 896,65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118 052,7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развития жилищно-коммунального хозяйства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«Теплоэнергетика и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подготовка предложений по отбору проектов для включения в государственные, региональные программы в сфере развития 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51 047,1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83 056,20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экономического анализа жилищно-коммунального 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управление», «Жилищное хо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зяйство и коммунальная инфраструктура», «Юриспруденция»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tabs>
                <w:tab w:val="left" w:pos="993" w:leader="none"/>
              </w:tabs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в разработке прогнозов социально-экономическог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 развития края по показателям жилищно-коммунального хозяйства в пределах полномочий отдела;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в разработке предложений по реализации государственных программ, реализуемых Министерством, в рамках компетенции отдела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53 664,90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86 982,90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Ведущий консультант отдела финансового планирования, бухгалтерского учета и отчетности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«Экономика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«Менеджмент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не менее одного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стажа гражданской службы или стажа работы по специальности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ведение учета финансирования, кассовых расходов, возвратов средств и сложившихся в муниципальных районах и городских округах остатков;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составление бюджетной отчетности в разрезе бюджетной классификации расходов и муниципальных образований на основании направленных отчетов от каждого муниципального образования;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ведение учета по счету 0 201 34 000 «Касса», осуществление операции по приему, выдаче и хранению денежных средств в строгом соответствии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экономической классификацией расходов бюджетов РФ с обязательным соблюдением правил, обеспечивающих их сохранность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50 632,0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80 139,0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защиты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физика», «Физика», «Радиофизика», «Информатика и вычислительная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техника», «Компьютерные и информацион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ные науки», «Инфокоммуникационные технологии и системы связи»,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систем», «Инфор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мационная безопасность», «Компьютерная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», «Криптография», «Проти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водействие техническим разведкам»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применение технических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дение мероприятий или участие в них по выявлению и устранению выявленных уязвимостей программного обеспечения в исполнительных органах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 мероприятий или участие в них по выявлению и устранению каналов возможной утечки информац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ости и контроля их исполнения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учета криптографических средств защиты информации Министерства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установка, настройка и эксплуатация программного обеспечения и программно-аппаратных 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мплексов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47 297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79 948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наноэлектроника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», «Менеджмент», «Экономика»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направлению подготовки, для кот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согласовании режима работы всех отделений «Почта России»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координация работы всех операторов связи реализующих свою детальность на территории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организации и реализации мероприятий по предоставлению современных услуг связи на территории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работах по созданию и функционированию информационных систем;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47 297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79 948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экономического анализа ЖКХ управления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специальностям, направлениям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«Экономика», «Менеджмент»,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реестра заявок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ресурсонабжающих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организаций на получение субсидий, по результата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 рассмотрения заявок готовить проект уведомлений   (в том числе в случае принятия решения об отказе в предоставлении субсидий), при необходимости запрашивать 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ресурсоснабжающих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организаций необходимые документы;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реестра фактических объемов коммун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альных ресурсов, реализованных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ресурсоснабжающими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организациями потребителям (ежеквартально нарастающим итогом по группам потребителей);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реестра объемов недополученных доходов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ресуроснабжающих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организаций, подтвержденных органом регулирования тариф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ов, с учетом отражения объемов выплат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47 297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79 948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r/>
            <w:r/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капитального ремонта многоквартирных домов управления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вание по специальностям, направлениям подготовки «Юриспруденция», «Экономика», «Менеджмент», «Государственное и муниципальное управление», «Архитектура», «Градостроительство», «Теплоэнергетика и теплотехника», «Электроэнергетика и электротехника», «Техника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 технологии строительства», «Строительство», «Строительство уникальных зданий и сооружений», «Ландшафтная архитектура», «Жилищное хозяйство и коммунальная инфраструктура» или иной специальности, направлению подготовки, для которой законодательством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Росси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перечнях профессий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pStyle w:val="839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осуществлять сбор и рассмотрение документов, представляемых органами местного самоуправления муниципальных образований для формирования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 (актуализации) региональной программы капитального ремонта в многоквартирных домах, расположенных на территории Забайкальского края;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39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участвовать в проведении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мониторинга реализации региональной программы капитального ремонта общего имущества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 в многокварти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рных домах, расположенных на территории Забайкальского края, краткосрочных планов ее реализации;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39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разрабатывать 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использования критериев определения очередности проведения капитального ремонта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47 297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79 948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Консультант отдела цифровой инфраструкту-ры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высшее образование по специальностям, направлениям подготовки «Электроника, радиотехника и системы связи»,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«Прикладная информатика», «Информатика и вычи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слительная техника», «Менеджмент», «Экономика», «Радиофизика», «Прикладные математика и физика», «Физика», «Государственное и муниципальное управление» или иной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Гражданский служащий должен обладать следующими иными профессиональными знаниями: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both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left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понятие базовых информационных ресурсов;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both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both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both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порядок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both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понимание основных тенденций развития и структуры отрасли информационных технологий;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both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порядок оформления технических требований, технических заданий на разработку (доработку) автоматизированных информационных систем;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ind w:left="142" w:firstLine="0"/>
              <w:jc w:val="left"/>
              <w:widowControl w:val="off"/>
              <w:tabs>
                <w:tab w:val="left" w:pos="567" w:leader="none"/>
                <w:tab w:val="left" w:pos="96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структура рынка информационных-коммуникационных технологий, ключевых участников рынка информационно-коммуникационных технологий;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особенности создания, внедрения и развития программно-технической, информационно-коммуникационной среды;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47 297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79 948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pacing w:val="-4"/>
                <w:sz w:val="24"/>
                <w:szCs w:val="24"/>
              </w:rPr>
              <w:t xml:space="preserve">Главный специалист-эксперт отдела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высшее образование по укрупненной группе специальностей, направлений подготовки «Электроника, радиотехника и системы связи»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либо по специальностям, направлениям подготовки «Государственное и муниципальное управление», «Менеджмент», «Экономика» или иной сп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бования к стажу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гражданской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организация взаимодействия с органами государственной власти и местного самоуправления Забайкальского края по различным аспектам деятельности,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рамках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установленных для отдел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 полномочий;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осуществление взаимодействия с операторами связи, реализующими свою детальность на территории Забайкальского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края;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участие в проектах строительства и запуска инновационных объектов предоставления современных услуг связи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36 959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68 395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Главный специалист-эксперт отдела политики энергосбережения, топливо- и газоснабжения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 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роведение мониторинга деятельности предприятий, занимающихся регулируемыми видами деятельности, по вопросам повышения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ергоэффективности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выработка предложений по повышению эффективности;</w:t>
            </w:r>
            <w:r>
              <w:rPr>
                <w:rFonts w:ascii="Times New Roman" w:hAnsi="Times New Roman" w:cs="Times New Roman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Cs w:val="28"/>
                <w:highlight w:val="whit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ышения энергетической эффективности (ГИС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Энергоэффективность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), необходимой информации в соответствии с правилами, утвержденными Правительством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36 959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68 395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  <w:lang w:val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834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 w:customStyle="1">
    <w:name w:val="Plain Text"/>
    <w:basedOn w:val="687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9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0" w:customStyle="1">
    <w:name w:val="Без интервала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1" w:customStyle="1">
    <w:name w:val="Основной текст2"/>
    <w:basedOn w:val="716"/>
    <w:link w:val="7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8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sva2</cp:lastModifiedBy>
  <cp:revision>30</cp:revision>
  <dcterms:created xsi:type="dcterms:W3CDTF">2025-01-27T03:27:00Z</dcterms:created>
  <dcterms:modified xsi:type="dcterms:W3CDTF">2025-04-16T03:05:36Z</dcterms:modified>
</cp:coreProperties>
</file>